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7583F" w:rsidRPr="006B4AEB" w:rsidRDefault="0021566C" w:rsidP="0027583F">
      <w:pPr>
        <w:rPr>
          <w:rFonts w:ascii="Arial" w:hAnsi="Arial" w:cs="Arial"/>
          <w:sz w:val="24"/>
        </w:rPr>
      </w:pPr>
      <w:r>
        <w:rPr>
          <w:rFonts w:ascii="Arial" w:hAnsi="Arial" w:cs="Arial"/>
          <w:b/>
          <w:sz w:val="28"/>
        </w:rPr>
        <w:t xml:space="preserve"> Portfolio Question 4</w:t>
      </w:r>
      <w:r w:rsidR="0027583F">
        <w:rPr>
          <w:rFonts w:ascii="Arial" w:hAnsi="Arial" w:cs="Arial"/>
          <w:b/>
          <w:sz w:val="28"/>
        </w:rPr>
        <w:br/>
      </w:r>
      <w:r w:rsidR="0027583F">
        <w:rPr>
          <w:rFonts w:ascii="Arial" w:hAnsi="Arial" w:cs="Arial"/>
          <w:sz w:val="24"/>
        </w:rPr>
        <w:t xml:space="preserve">The summarised statements of financial position of Colour plc, Blue plc, White Ltd </w:t>
      </w:r>
      <w:r w:rsidR="0027583F" w:rsidRPr="006B4AEB">
        <w:rPr>
          <w:rFonts w:ascii="Arial" w:hAnsi="Arial" w:cs="Arial"/>
          <w:sz w:val="24"/>
        </w:rPr>
        <w:t>and Green Ltd at 31 December 2018 are set out below.</w:t>
      </w:r>
    </w:p>
    <w:p w:rsidR="0027583F" w:rsidRPr="006B4AEB" w:rsidRDefault="0027583F" w:rsidP="0027583F">
      <w:pPr>
        <w:rPr>
          <w:rFonts w:ascii="Arial" w:hAnsi="Arial" w:cs="Arial"/>
          <w:b/>
          <w:sz w:val="24"/>
        </w:rPr>
      </w:pPr>
      <w:r w:rsidRPr="006B4AEB">
        <w:rPr>
          <w:rFonts w:ascii="Arial" w:hAnsi="Arial" w:cs="Arial"/>
          <w:b/>
          <w:sz w:val="24"/>
        </w:rPr>
        <w:t>Statements of financial position as at 31 December 2018.</w:t>
      </w:r>
    </w:p>
    <w:tbl>
      <w:tblPr>
        <w:tblW w:w="9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6"/>
        <w:gridCol w:w="1360"/>
        <w:gridCol w:w="1420"/>
        <w:gridCol w:w="1440"/>
        <w:gridCol w:w="1540"/>
      </w:tblGrid>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Times New Roman" w:eastAsia="Times New Roman" w:hAnsi="Times New Roman" w:cs="Times New Roman"/>
                <w:sz w:val="24"/>
                <w:szCs w:val="24"/>
                <w:lang w:eastAsia="en-IE"/>
              </w:rPr>
            </w:pP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Pr>
                <w:rFonts w:ascii="Arial" w:eastAsia="Times New Roman" w:hAnsi="Arial" w:cs="Arial"/>
                <w:b/>
                <w:bCs/>
                <w:color w:val="000000"/>
                <w:sz w:val="24"/>
                <w:szCs w:val="24"/>
                <w:lang w:eastAsia="en-IE"/>
              </w:rPr>
              <w:t>Colour</w:t>
            </w:r>
            <w:r w:rsidRPr="006B4AEB">
              <w:rPr>
                <w:rFonts w:ascii="Arial" w:eastAsia="Times New Roman" w:hAnsi="Arial" w:cs="Arial"/>
                <w:b/>
                <w:bCs/>
                <w:color w:val="000000"/>
                <w:sz w:val="24"/>
                <w:szCs w:val="24"/>
                <w:lang w:eastAsia="en-IE"/>
              </w:rPr>
              <w:t xml:space="preserve"> plc</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 xml:space="preserve">Blue plc </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 xml:space="preserve">White Ltd </w:t>
            </w: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Green Ltd</w:t>
            </w: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€'m</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€'m</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€'m</w:t>
            </w: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€'m</w:t>
            </w: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Property, plant and equipment</w:t>
            </w: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1,840</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863</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520</w:t>
            </w: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400</w:t>
            </w: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Investments at cost</w:t>
            </w: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1,545</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p>
        </w:tc>
        <w:tc>
          <w:tcPr>
            <w:tcW w:w="1440" w:type="dxa"/>
            <w:shd w:val="clear" w:color="auto" w:fill="auto"/>
            <w:noWrap/>
            <w:vAlign w:val="bottom"/>
            <w:hideMark/>
          </w:tcPr>
          <w:p w:rsidR="0027583F" w:rsidRPr="006B4AEB" w:rsidRDefault="0027583F" w:rsidP="00141415">
            <w:pPr>
              <w:spacing w:after="0" w:line="240" w:lineRule="auto"/>
              <w:rPr>
                <w:rFonts w:ascii="Times New Roman" w:eastAsia="Times New Roman" w:hAnsi="Times New Roman" w:cs="Times New Roman"/>
                <w:sz w:val="20"/>
                <w:szCs w:val="20"/>
                <w:lang w:eastAsia="en-IE"/>
              </w:rPr>
            </w:pPr>
          </w:p>
        </w:tc>
        <w:tc>
          <w:tcPr>
            <w:tcW w:w="1540" w:type="dxa"/>
            <w:shd w:val="clear" w:color="auto" w:fill="auto"/>
            <w:noWrap/>
            <w:vAlign w:val="bottom"/>
            <w:hideMark/>
          </w:tcPr>
          <w:p w:rsidR="0027583F" w:rsidRPr="006B4AEB" w:rsidRDefault="0027583F" w:rsidP="00141415">
            <w:pPr>
              <w:spacing w:after="0" w:line="240" w:lineRule="auto"/>
              <w:rPr>
                <w:rFonts w:ascii="Times New Roman" w:eastAsia="Times New Roman" w:hAnsi="Times New Roman" w:cs="Times New Roman"/>
                <w:sz w:val="20"/>
                <w:szCs w:val="20"/>
                <w:lang w:eastAsia="en-IE"/>
              </w:rPr>
            </w:pP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Inventory</w:t>
            </w: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350</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212</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108</w:t>
            </w: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120</w:t>
            </w: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Trade receivables</w:t>
            </w: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213</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127</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82</w:t>
            </w: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65</w:t>
            </w: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Bank</w:t>
            </w:r>
          </w:p>
        </w:tc>
        <w:tc>
          <w:tcPr>
            <w:tcW w:w="136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234</w:t>
            </w:r>
          </w:p>
        </w:tc>
        <w:tc>
          <w:tcPr>
            <w:tcW w:w="142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26</w:t>
            </w:r>
          </w:p>
        </w:tc>
        <w:tc>
          <w:tcPr>
            <w:tcW w:w="144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19</w:t>
            </w:r>
          </w:p>
        </w:tc>
        <w:tc>
          <w:tcPr>
            <w:tcW w:w="154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38</w:t>
            </w:r>
          </w:p>
        </w:tc>
      </w:tr>
      <w:tr w:rsidR="0027583F" w:rsidRPr="006B4AEB" w:rsidTr="00141415">
        <w:trPr>
          <w:trHeight w:val="330"/>
        </w:trPr>
        <w:tc>
          <w:tcPr>
            <w:tcW w:w="3246"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p>
        </w:tc>
        <w:tc>
          <w:tcPr>
            <w:tcW w:w="136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4,182</w:t>
            </w:r>
          </w:p>
        </w:tc>
        <w:tc>
          <w:tcPr>
            <w:tcW w:w="142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1,228</w:t>
            </w:r>
          </w:p>
        </w:tc>
        <w:tc>
          <w:tcPr>
            <w:tcW w:w="144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729</w:t>
            </w:r>
          </w:p>
        </w:tc>
        <w:tc>
          <w:tcPr>
            <w:tcW w:w="154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623</w:t>
            </w:r>
          </w:p>
        </w:tc>
      </w:tr>
      <w:tr w:rsidR="0027583F" w:rsidRPr="006B4AEB" w:rsidTr="00141415">
        <w:trPr>
          <w:trHeight w:val="330"/>
        </w:trPr>
        <w:tc>
          <w:tcPr>
            <w:tcW w:w="3246"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p>
        </w:tc>
        <w:tc>
          <w:tcPr>
            <w:tcW w:w="1360" w:type="dxa"/>
            <w:shd w:val="clear" w:color="auto" w:fill="auto"/>
            <w:noWrap/>
            <w:vAlign w:val="bottom"/>
            <w:hideMark/>
          </w:tcPr>
          <w:p w:rsidR="0027583F" w:rsidRPr="00CA1B51" w:rsidRDefault="0027583F" w:rsidP="00141415">
            <w:pPr>
              <w:spacing w:after="0" w:line="240" w:lineRule="auto"/>
              <w:rPr>
                <w:rFonts w:ascii="Times New Roman" w:eastAsia="Times New Roman" w:hAnsi="Times New Roman" w:cs="Times New Roman"/>
                <w:sz w:val="20"/>
                <w:szCs w:val="20"/>
                <w:u w:val="single"/>
                <w:lang w:eastAsia="en-IE"/>
              </w:rPr>
            </w:pPr>
          </w:p>
        </w:tc>
        <w:tc>
          <w:tcPr>
            <w:tcW w:w="1420" w:type="dxa"/>
            <w:shd w:val="clear" w:color="auto" w:fill="auto"/>
            <w:noWrap/>
            <w:vAlign w:val="bottom"/>
            <w:hideMark/>
          </w:tcPr>
          <w:p w:rsidR="0027583F" w:rsidRPr="00CA1B51" w:rsidRDefault="0027583F" w:rsidP="00141415">
            <w:pPr>
              <w:spacing w:after="0" w:line="240" w:lineRule="auto"/>
              <w:rPr>
                <w:rFonts w:ascii="Times New Roman" w:eastAsia="Times New Roman" w:hAnsi="Times New Roman" w:cs="Times New Roman"/>
                <w:sz w:val="20"/>
                <w:szCs w:val="20"/>
                <w:u w:val="single"/>
                <w:lang w:eastAsia="en-IE"/>
              </w:rPr>
            </w:pPr>
          </w:p>
        </w:tc>
        <w:tc>
          <w:tcPr>
            <w:tcW w:w="1440" w:type="dxa"/>
            <w:shd w:val="clear" w:color="auto" w:fill="auto"/>
            <w:noWrap/>
            <w:vAlign w:val="bottom"/>
            <w:hideMark/>
          </w:tcPr>
          <w:p w:rsidR="0027583F" w:rsidRPr="00CA1B51" w:rsidRDefault="0027583F" w:rsidP="00141415">
            <w:pPr>
              <w:spacing w:after="0" w:line="240" w:lineRule="auto"/>
              <w:rPr>
                <w:rFonts w:ascii="Times New Roman" w:eastAsia="Times New Roman" w:hAnsi="Times New Roman" w:cs="Times New Roman"/>
                <w:sz w:val="20"/>
                <w:szCs w:val="20"/>
                <w:u w:val="single"/>
                <w:lang w:eastAsia="en-IE"/>
              </w:rPr>
            </w:pPr>
          </w:p>
        </w:tc>
        <w:tc>
          <w:tcPr>
            <w:tcW w:w="1540" w:type="dxa"/>
            <w:shd w:val="clear" w:color="auto" w:fill="auto"/>
            <w:noWrap/>
            <w:vAlign w:val="bottom"/>
            <w:hideMark/>
          </w:tcPr>
          <w:p w:rsidR="0027583F" w:rsidRPr="00CA1B51" w:rsidRDefault="0027583F" w:rsidP="00141415">
            <w:pPr>
              <w:spacing w:after="0" w:line="240" w:lineRule="auto"/>
              <w:rPr>
                <w:rFonts w:ascii="Times New Roman" w:eastAsia="Times New Roman" w:hAnsi="Times New Roman" w:cs="Times New Roman"/>
                <w:sz w:val="20"/>
                <w:szCs w:val="20"/>
                <w:u w:val="single"/>
                <w:lang w:eastAsia="en-IE"/>
              </w:rPr>
            </w:pP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Trade payables</w:t>
            </w: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162</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101</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52</w:t>
            </w: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32</w:t>
            </w: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Tax payable</w:t>
            </w: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112</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47</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27</w:t>
            </w: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14</w:t>
            </w: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Ordinary share capital</w:t>
            </w:r>
          </w:p>
        </w:tc>
        <w:tc>
          <w:tcPr>
            <w:tcW w:w="136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600</w:t>
            </w: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250</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140</w:t>
            </w: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200</w:t>
            </w:r>
          </w:p>
        </w:tc>
      </w:tr>
      <w:tr w:rsidR="0027583F" w:rsidRPr="006B4AEB" w:rsidTr="00141415">
        <w:trPr>
          <w:trHeight w:val="315"/>
        </w:trPr>
        <w:tc>
          <w:tcPr>
            <w:tcW w:w="3246"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Retained earnings</w:t>
            </w:r>
          </w:p>
        </w:tc>
        <w:tc>
          <w:tcPr>
            <w:tcW w:w="136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3,308</w:t>
            </w:r>
          </w:p>
        </w:tc>
        <w:tc>
          <w:tcPr>
            <w:tcW w:w="142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830</w:t>
            </w:r>
          </w:p>
        </w:tc>
        <w:tc>
          <w:tcPr>
            <w:tcW w:w="144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510</w:t>
            </w:r>
          </w:p>
        </w:tc>
        <w:tc>
          <w:tcPr>
            <w:tcW w:w="154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377</w:t>
            </w:r>
          </w:p>
        </w:tc>
      </w:tr>
      <w:tr w:rsidR="0027583F" w:rsidRPr="00D555B0" w:rsidTr="00141415">
        <w:trPr>
          <w:trHeight w:val="330"/>
        </w:trPr>
        <w:tc>
          <w:tcPr>
            <w:tcW w:w="3246" w:type="dxa"/>
            <w:shd w:val="clear" w:color="auto" w:fill="auto"/>
            <w:noWrap/>
            <w:vAlign w:val="bottom"/>
            <w:hideMark/>
          </w:tcPr>
          <w:p w:rsidR="0027583F" w:rsidRPr="00D555B0" w:rsidRDefault="0027583F" w:rsidP="00141415">
            <w:pPr>
              <w:spacing w:after="0" w:line="240" w:lineRule="auto"/>
              <w:jc w:val="right"/>
              <w:rPr>
                <w:rFonts w:ascii="Arial" w:eastAsia="Times New Roman" w:hAnsi="Arial" w:cs="Arial"/>
                <w:color w:val="000000"/>
                <w:sz w:val="24"/>
                <w:szCs w:val="24"/>
                <w:lang w:eastAsia="en-IE"/>
              </w:rPr>
            </w:pPr>
          </w:p>
        </w:tc>
        <w:tc>
          <w:tcPr>
            <w:tcW w:w="136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4,182</w:t>
            </w:r>
          </w:p>
        </w:tc>
        <w:tc>
          <w:tcPr>
            <w:tcW w:w="142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1,228</w:t>
            </w:r>
          </w:p>
        </w:tc>
        <w:tc>
          <w:tcPr>
            <w:tcW w:w="144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729</w:t>
            </w:r>
          </w:p>
        </w:tc>
        <w:tc>
          <w:tcPr>
            <w:tcW w:w="154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623</w:t>
            </w:r>
          </w:p>
        </w:tc>
      </w:tr>
    </w:tbl>
    <w:p w:rsidR="0027583F" w:rsidRPr="00D555B0" w:rsidRDefault="0027583F" w:rsidP="0027583F">
      <w:pPr>
        <w:rPr>
          <w:rFonts w:ascii="Arial" w:hAnsi="Arial" w:cs="Arial"/>
          <w:b/>
          <w:sz w:val="24"/>
        </w:rPr>
      </w:pPr>
    </w:p>
    <w:p w:rsidR="0027583F" w:rsidRPr="006B4AEB" w:rsidRDefault="0027583F" w:rsidP="0027583F">
      <w:pPr>
        <w:rPr>
          <w:rFonts w:ascii="Arial" w:hAnsi="Arial" w:cs="Arial"/>
          <w:sz w:val="24"/>
        </w:rPr>
      </w:pPr>
      <w:r w:rsidRPr="006B4AEB">
        <w:rPr>
          <w:rFonts w:ascii="Arial" w:hAnsi="Arial" w:cs="Arial"/>
          <w:sz w:val="24"/>
        </w:rPr>
        <w:t>1. Investments at cost in the above trial balance comprise</w:t>
      </w:r>
    </w:p>
    <w:tbl>
      <w:tblPr>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1360"/>
        <w:gridCol w:w="1420"/>
      </w:tblGrid>
      <w:tr w:rsidR="0027583F" w:rsidRPr="006B4AEB" w:rsidTr="00141415">
        <w:trPr>
          <w:trHeight w:val="315"/>
        </w:trPr>
        <w:tc>
          <w:tcPr>
            <w:tcW w:w="3220" w:type="dxa"/>
            <w:shd w:val="clear" w:color="auto" w:fill="auto"/>
            <w:noWrap/>
            <w:vAlign w:val="bottom"/>
            <w:hideMark/>
          </w:tcPr>
          <w:p w:rsidR="0027583F" w:rsidRPr="006B4AEB" w:rsidRDefault="0027583F" w:rsidP="00141415">
            <w:pPr>
              <w:spacing w:after="0" w:line="240" w:lineRule="auto"/>
              <w:rPr>
                <w:rFonts w:ascii="Times New Roman" w:eastAsia="Times New Roman" w:hAnsi="Times New Roman" w:cs="Times New Roman"/>
                <w:sz w:val="24"/>
                <w:szCs w:val="24"/>
                <w:lang w:eastAsia="en-IE"/>
              </w:rPr>
            </w:pPr>
          </w:p>
        </w:tc>
        <w:tc>
          <w:tcPr>
            <w:tcW w:w="1360" w:type="dxa"/>
            <w:shd w:val="clear" w:color="auto" w:fill="auto"/>
            <w:noWrap/>
            <w:vAlign w:val="bottom"/>
            <w:hideMark/>
          </w:tcPr>
          <w:p w:rsidR="0027583F" w:rsidRPr="006B4AEB" w:rsidRDefault="0027583F" w:rsidP="00141415">
            <w:pPr>
              <w:spacing w:after="0" w:line="240" w:lineRule="auto"/>
              <w:rPr>
                <w:rFonts w:ascii="Times New Roman" w:eastAsia="Times New Roman" w:hAnsi="Times New Roman" w:cs="Times New Roman"/>
                <w:sz w:val="20"/>
                <w:szCs w:val="20"/>
                <w:lang w:eastAsia="en-IE"/>
              </w:rPr>
            </w:pP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€m</w:t>
            </w:r>
          </w:p>
        </w:tc>
      </w:tr>
      <w:tr w:rsidR="0027583F" w:rsidRPr="006B4AEB" w:rsidTr="00141415">
        <w:trPr>
          <w:trHeight w:val="315"/>
        </w:trPr>
        <w:tc>
          <w:tcPr>
            <w:tcW w:w="322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Investment in Blue plc</w:t>
            </w:r>
          </w:p>
        </w:tc>
        <w:tc>
          <w:tcPr>
            <w:tcW w:w="136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9</w:t>
            </w:r>
            <w:r w:rsidRPr="006B4AEB">
              <w:rPr>
                <w:rFonts w:ascii="Arial" w:eastAsia="Times New Roman" w:hAnsi="Arial" w:cs="Arial"/>
                <w:color w:val="000000"/>
                <w:sz w:val="24"/>
                <w:szCs w:val="24"/>
                <w:lang w:eastAsia="en-IE"/>
              </w:rPr>
              <w:t>52</w:t>
            </w:r>
          </w:p>
        </w:tc>
      </w:tr>
      <w:tr w:rsidR="0027583F" w:rsidRPr="006B4AEB" w:rsidTr="00141415">
        <w:trPr>
          <w:trHeight w:val="315"/>
        </w:trPr>
        <w:tc>
          <w:tcPr>
            <w:tcW w:w="322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Investment in White Ltd</w:t>
            </w:r>
          </w:p>
        </w:tc>
        <w:tc>
          <w:tcPr>
            <w:tcW w:w="136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440</w:t>
            </w:r>
          </w:p>
        </w:tc>
      </w:tr>
      <w:tr w:rsidR="0027583F" w:rsidRPr="006B4AEB" w:rsidTr="00141415">
        <w:trPr>
          <w:trHeight w:val="315"/>
        </w:trPr>
        <w:tc>
          <w:tcPr>
            <w:tcW w:w="322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Investment in Green Ltd</w:t>
            </w:r>
          </w:p>
        </w:tc>
        <w:tc>
          <w:tcPr>
            <w:tcW w:w="136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131</w:t>
            </w:r>
          </w:p>
        </w:tc>
      </w:tr>
      <w:tr w:rsidR="0027583F" w:rsidRPr="00CA1B51" w:rsidTr="00141415">
        <w:trPr>
          <w:trHeight w:val="315"/>
        </w:trPr>
        <w:tc>
          <w:tcPr>
            <w:tcW w:w="322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Other Investments</w:t>
            </w:r>
          </w:p>
        </w:tc>
        <w:tc>
          <w:tcPr>
            <w:tcW w:w="136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p>
        </w:tc>
        <w:tc>
          <w:tcPr>
            <w:tcW w:w="142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22</w:t>
            </w:r>
          </w:p>
        </w:tc>
      </w:tr>
      <w:tr w:rsidR="0027583F" w:rsidRPr="006B4AEB" w:rsidTr="00141415">
        <w:trPr>
          <w:trHeight w:val="330"/>
        </w:trPr>
        <w:tc>
          <w:tcPr>
            <w:tcW w:w="32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p>
        </w:tc>
        <w:tc>
          <w:tcPr>
            <w:tcW w:w="1360" w:type="dxa"/>
            <w:shd w:val="clear" w:color="auto" w:fill="auto"/>
            <w:noWrap/>
            <w:vAlign w:val="bottom"/>
            <w:hideMark/>
          </w:tcPr>
          <w:p w:rsidR="0027583F" w:rsidRPr="006B4AEB" w:rsidRDefault="0027583F" w:rsidP="00141415">
            <w:pPr>
              <w:spacing w:after="0" w:line="240" w:lineRule="auto"/>
              <w:rPr>
                <w:rFonts w:ascii="Times New Roman" w:eastAsia="Times New Roman" w:hAnsi="Times New Roman" w:cs="Times New Roman"/>
                <w:sz w:val="20"/>
                <w:szCs w:val="20"/>
                <w:lang w:eastAsia="en-IE"/>
              </w:rPr>
            </w:pPr>
          </w:p>
        </w:tc>
        <w:tc>
          <w:tcPr>
            <w:tcW w:w="1420" w:type="dxa"/>
            <w:shd w:val="clear" w:color="auto" w:fill="auto"/>
            <w:noWrap/>
            <w:vAlign w:val="bottom"/>
            <w:hideMark/>
          </w:tcPr>
          <w:p w:rsidR="0027583F" w:rsidRPr="00CA1B51" w:rsidRDefault="0027583F" w:rsidP="00141415">
            <w:pPr>
              <w:spacing w:after="0" w:line="240" w:lineRule="auto"/>
              <w:jc w:val="right"/>
              <w:rPr>
                <w:rFonts w:ascii="Arial" w:eastAsia="Times New Roman" w:hAnsi="Arial" w:cs="Arial"/>
                <w:color w:val="000000"/>
                <w:sz w:val="24"/>
                <w:szCs w:val="24"/>
                <w:u w:val="single"/>
                <w:lang w:eastAsia="en-IE"/>
              </w:rPr>
            </w:pPr>
            <w:r w:rsidRPr="00CA1B51">
              <w:rPr>
                <w:rFonts w:ascii="Arial" w:eastAsia="Times New Roman" w:hAnsi="Arial" w:cs="Arial"/>
                <w:color w:val="000000"/>
                <w:sz w:val="24"/>
                <w:szCs w:val="24"/>
                <w:u w:val="single"/>
                <w:lang w:eastAsia="en-IE"/>
              </w:rPr>
              <w:t>1,545</w:t>
            </w:r>
          </w:p>
        </w:tc>
      </w:tr>
    </w:tbl>
    <w:p w:rsidR="0027583F" w:rsidRPr="006B4AEB" w:rsidRDefault="0027583F" w:rsidP="0027583F">
      <w:pPr>
        <w:rPr>
          <w:rFonts w:ascii="Arial" w:hAnsi="Arial" w:cs="Arial"/>
          <w:sz w:val="24"/>
        </w:rPr>
      </w:pPr>
      <w:r w:rsidRPr="006B4AEB">
        <w:rPr>
          <w:rFonts w:ascii="Arial" w:hAnsi="Arial" w:cs="Arial"/>
          <w:sz w:val="24"/>
        </w:rPr>
        <w:t>.</w:t>
      </w:r>
    </w:p>
    <w:p w:rsidR="0027583F" w:rsidRDefault="0027583F" w:rsidP="0027583F">
      <w:pPr>
        <w:rPr>
          <w:rFonts w:ascii="Arial" w:hAnsi="Arial" w:cs="Arial"/>
          <w:sz w:val="24"/>
        </w:rPr>
      </w:pPr>
      <w:r>
        <w:rPr>
          <w:rFonts w:ascii="Arial" w:hAnsi="Arial" w:cs="Arial"/>
          <w:sz w:val="24"/>
        </w:rPr>
        <w:t>Other investments comprise investments in equity shares in other companies, where Colour plc has neither control nor significant influence. The fair value of these other investments at 31 December 2018 amounted to €25m.</w:t>
      </w:r>
    </w:p>
    <w:p w:rsidR="0027583F" w:rsidRDefault="0027583F" w:rsidP="0027583F">
      <w:pPr>
        <w:rPr>
          <w:rFonts w:ascii="Arial" w:hAnsi="Arial" w:cs="Arial"/>
          <w:sz w:val="24"/>
        </w:rPr>
      </w:pPr>
      <w:r>
        <w:rPr>
          <w:rFonts w:ascii="Arial" w:hAnsi="Arial" w:cs="Arial"/>
          <w:sz w:val="24"/>
        </w:rPr>
        <w:t xml:space="preserve">2. Colour plc acquired </w:t>
      </w:r>
      <w:r w:rsidRPr="001836ED">
        <w:rPr>
          <w:rFonts w:ascii="Arial" w:hAnsi="Arial" w:cs="Arial"/>
          <w:b/>
          <w:sz w:val="24"/>
        </w:rPr>
        <w:t>80% of the ordinary share capital of Blue</w:t>
      </w:r>
      <w:r>
        <w:rPr>
          <w:rFonts w:ascii="Arial" w:hAnsi="Arial" w:cs="Arial"/>
          <w:sz w:val="24"/>
        </w:rPr>
        <w:t xml:space="preserve"> plc on I January 2014. Colour plc acquired </w:t>
      </w:r>
      <w:r w:rsidRPr="001836ED">
        <w:rPr>
          <w:rFonts w:ascii="Arial" w:hAnsi="Arial" w:cs="Arial"/>
          <w:b/>
          <w:sz w:val="24"/>
        </w:rPr>
        <w:t>75% of the ordinary share capital of White Ltd</w:t>
      </w:r>
      <w:r>
        <w:rPr>
          <w:rFonts w:ascii="Arial" w:hAnsi="Arial" w:cs="Arial"/>
          <w:sz w:val="24"/>
        </w:rPr>
        <w:t xml:space="preserve"> on 1 January 2012. Colour plc acquired </w:t>
      </w:r>
      <w:r w:rsidRPr="001836ED">
        <w:rPr>
          <w:rFonts w:ascii="Arial" w:hAnsi="Arial" w:cs="Arial"/>
          <w:b/>
          <w:sz w:val="24"/>
        </w:rPr>
        <w:t>25% of the ordinary share capital of Green Ltd</w:t>
      </w:r>
      <w:r>
        <w:rPr>
          <w:rFonts w:ascii="Arial" w:hAnsi="Arial" w:cs="Arial"/>
          <w:sz w:val="24"/>
        </w:rPr>
        <w:t xml:space="preserve"> on 1 October 2018. Colour plc has significant influence over the financial and operating decisions of Green Ltd.</w:t>
      </w:r>
    </w:p>
    <w:p w:rsidR="0027583F" w:rsidRDefault="0027583F" w:rsidP="0027583F">
      <w:pPr>
        <w:rPr>
          <w:rFonts w:ascii="Arial" w:hAnsi="Arial" w:cs="Arial"/>
          <w:sz w:val="24"/>
        </w:rPr>
      </w:pPr>
      <w:r>
        <w:rPr>
          <w:rFonts w:ascii="Arial" w:hAnsi="Arial" w:cs="Arial"/>
          <w:sz w:val="24"/>
        </w:rPr>
        <w:t>3. Non-controlling interests in Blue plc are valued at full fair value (full goodwill) and the fair value of the non-controlling interests in Blue plc at 1 January 2014 amounted to €235m. Non-controlling interests in White Ltd are value at the proportionate share of the fair value of the net assets (partial goodwill).</w:t>
      </w:r>
    </w:p>
    <w:p w:rsidR="0027583F" w:rsidRDefault="0027583F" w:rsidP="0027583F">
      <w:pPr>
        <w:rPr>
          <w:rFonts w:ascii="Arial" w:hAnsi="Arial" w:cs="Arial" w:hint="cs"/>
          <w:sz w:val="24"/>
          <w:rtl/>
        </w:rPr>
      </w:pPr>
    </w:p>
    <w:p w:rsidR="0027583F" w:rsidRDefault="0027583F" w:rsidP="0027583F">
      <w:pPr>
        <w:rPr>
          <w:rFonts w:ascii="Arial" w:hAnsi="Arial" w:cs="Arial"/>
          <w:sz w:val="24"/>
        </w:rPr>
      </w:pPr>
      <w:r>
        <w:rPr>
          <w:rFonts w:ascii="Arial" w:hAnsi="Arial" w:cs="Arial"/>
          <w:sz w:val="24"/>
        </w:rPr>
        <w:t>4. At the dates of the above share purchases by Colour plc the following information is known:</w:t>
      </w: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1360"/>
        <w:gridCol w:w="1420"/>
        <w:gridCol w:w="1440"/>
        <w:gridCol w:w="1540"/>
      </w:tblGrid>
      <w:tr w:rsidR="0027583F" w:rsidRPr="006B4AEB" w:rsidTr="00141415">
        <w:trPr>
          <w:trHeight w:val="630"/>
        </w:trPr>
        <w:tc>
          <w:tcPr>
            <w:tcW w:w="3220" w:type="dxa"/>
            <w:shd w:val="clear" w:color="auto" w:fill="auto"/>
            <w:noWrap/>
            <w:vAlign w:val="bottom"/>
            <w:hideMark/>
          </w:tcPr>
          <w:p w:rsidR="0027583F" w:rsidRPr="006B4AEB" w:rsidRDefault="0027583F" w:rsidP="00141415">
            <w:pPr>
              <w:spacing w:after="0" w:line="240" w:lineRule="auto"/>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Company</w:t>
            </w:r>
          </w:p>
        </w:tc>
        <w:tc>
          <w:tcPr>
            <w:tcW w:w="1360" w:type="dxa"/>
            <w:shd w:val="clear" w:color="auto" w:fill="auto"/>
            <w:noWrap/>
            <w:vAlign w:val="bottom"/>
            <w:hideMark/>
          </w:tcPr>
          <w:p w:rsidR="0027583F" w:rsidRPr="006B4AEB" w:rsidRDefault="0027583F" w:rsidP="00141415">
            <w:pPr>
              <w:spacing w:after="0" w:line="240" w:lineRule="auto"/>
              <w:rPr>
                <w:rFonts w:ascii="Arial" w:eastAsia="Times New Roman" w:hAnsi="Arial" w:cs="Arial"/>
                <w:b/>
                <w:bCs/>
                <w:color w:val="000000"/>
                <w:sz w:val="24"/>
                <w:szCs w:val="24"/>
                <w:lang w:eastAsia="en-IE"/>
              </w:rPr>
            </w:pP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Date</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p>
        </w:tc>
        <w:tc>
          <w:tcPr>
            <w:tcW w:w="1540" w:type="dxa"/>
            <w:shd w:val="clear" w:color="auto" w:fill="auto"/>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Retained Earnings</w:t>
            </w:r>
          </w:p>
        </w:tc>
      </w:tr>
      <w:tr w:rsidR="0027583F" w:rsidRPr="006B4AEB" w:rsidTr="00141415">
        <w:trPr>
          <w:trHeight w:val="315"/>
        </w:trPr>
        <w:tc>
          <w:tcPr>
            <w:tcW w:w="32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p>
        </w:tc>
        <w:tc>
          <w:tcPr>
            <w:tcW w:w="1360" w:type="dxa"/>
            <w:shd w:val="clear" w:color="auto" w:fill="auto"/>
            <w:vAlign w:val="bottom"/>
            <w:hideMark/>
          </w:tcPr>
          <w:p w:rsidR="0027583F" w:rsidRPr="006B4AEB" w:rsidRDefault="0027583F" w:rsidP="00141415">
            <w:pPr>
              <w:spacing w:after="0" w:line="240" w:lineRule="auto"/>
              <w:rPr>
                <w:rFonts w:ascii="Times New Roman" w:eastAsia="Times New Roman" w:hAnsi="Times New Roman" w:cs="Times New Roman"/>
                <w:sz w:val="20"/>
                <w:szCs w:val="20"/>
                <w:lang w:eastAsia="en-IE"/>
              </w:rPr>
            </w:pPr>
          </w:p>
        </w:tc>
        <w:tc>
          <w:tcPr>
            <w:tcW w:w="1420" w:type="dxa"/>
            <w:shd w:val="clear" w:color="auto" w:fill="auto"/>
            <w:noWrap/>
            <w:vAlign w:val="bottom"/>
            <w:hideMark/>
          </w:tcPr>
          <w:p w:rsidR="0027583F" w:rsidRPr="006B4AEB" w:rsidRDefault="0027583F" w:rsidP="00141415">
            <w:pPr>
              <w:spacing w:after="0" w:line="240" w:lineRule="auto"/>
              <w:rPr>
                <w:rFonts w:ascii="Times New Roman" w:eastAsia="Times New Roman" w:hAnsi="Times New Roman" w:cs="Times New Roman"/>
                <w:sz w:val="20"/>
                <w:szCs w:val="20"/>
                <w:lang w:eastAsia="en-IE"/>
              </w:rPr>
            </w:pPr>
          </w:p>
        </w:tc>
        <w:tc>
          <w:tcPr>
            <w:tcW w:w="1440" w:type="dxa"/>
            <w:shd w:val="clear" w:color="auto" w:fill="auto"/>
            <w:noWrap/>
            <w:vAlign w:val="bottom"/>
            <w:hideMark/>
          </w:tcPr>
          <w:p w:rsidR="0027583F" w:rsidRPr="006B4AEB" w:rsidRDefault="0027583F" w:rsidP="00141415">
            <w:pPr>
              <w:spacing w:after="0" w:line="240" w:lineRule="auto"/>
              <w:rPr>
                <w:rFonts w:ascii="Times New Roman" w:eastAsia="Times New Roman" w:hAnsi="Times New Roman" w:cs="Times New Roman"/>
                <w:sz w:val="20"/>
                <w:szCs w:val="20"/>
                <w:lang w:eastAsia="en-IE"/>
              </w:rPr>
            </w:pP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b/>
                <w:bCs/>
                <w:color w:val="000000"/>
                <w:sz w:val="24"/>
                <w:szCs w:val="24"/>
                <w:lang w:eastAsia="en-IE"/>
              </w:rPr>
            </w:pPr>
            <w:r w:rsidRPr="006B4AEB">
              <w:rPr>
                <w:rFonts w:ascii="Arial" w:eastAsia="Times New Roman" w:hAnsi="Arial" w:cs="Arial"/>
                <w:b/>
                <w:bCs/>
                <w:color w:val="000000"/>
                <w:sz w:val="24"/>
                <w:szCs w:val="24"/>
                <w:lang w:eastAsia="en-IE"/>
              </w:rPr>
              <w:t>€'m</w:t>
            </w:r>
          </w:p>
        </w:tc>
      </w:tr>
      <w:tr w:rsidR="0027583F" w:rsidRPr="006B4AEB" w:rsidTr="00141415">
        <w:trPr>
          <w:trHeight w:val="315"/>
        </w:trPr>
        <w:tc>
          <w:tcPr>
            <w:tcW w:w="322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Blue plc</w:t>
            </w:r>
          </w:p>
        </w:tc>
        <w:tc>
          <w:tcPr>
            <w:tcW w:w="136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01/01/2014</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700</w:t>
            </w:r>
          </w:p>
        </w:tc>
      </w:tr>
      <w:tr w:rsidR="0027583F" w:rsidRPr="006B4AEB" w:rsidTr="00141415">
        <w:trPr>
          <w:trHeight w:val="315"/>
        </w:trPr>
        <w:tc>
          <w:tcPr>
            <w:tcW w:w="322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White Ltd</w:t>
            </w:r>
          </w:p>
        </w:tc>
        <w:tc>
          <w:tcPr>
            <w:tcW w:w="136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01/01/2012</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260</w:t>
            </w:r>
          </w:p>
        </w:tc>
      </w:tr>
      <w:tr w:rsidR="0027583F" w:rsidRPr="006B4AEB" w:rsidTr="00141415">
        <w:trPr>
          <w:trHeight w:val="315"/>
        </w:trPr>
        <w:tc>
          <w:tcPr>
            <w:tcW w:w="322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Green Ltd</w:t>
            </w:r>
          </w:p>
        </w:tc>
        <w:tc>
          <w:tcPr>
            <w:tcW w:w="1360" w:type="dxa"/>
            <w:shd w:val="clear" w:color="auto" w:fill="auto"/>
            <w:noWrap/>
            <w:vAlign w:val="bottom"/>
            <w:hideMark/>
          </w:tcPr>
          <w:p w:rsidR="0027583F" w:rsidRPr="006B4AEB" w:rsidRDefault="0027583F" w:rsidP="00141415">
            <w:pPr>
              <w:spacing w:after="0" w:line="240" w:lineRule="auto"/>
              <w:rPr>
                <w:rFonts w:ascii="Arial" w:eastAsia="Times New Roman" w:hAnsi="Arial" w:cs="Arial"/>
                <w:color w:val="000000"/>
                <w:sz w:val="24"/>
                <w:szCs w:val="24"/>
                <w:lang w:eastAsia="en-IE"/>
              </w:rPr>
            </w:pPr>
          </w:p>
        </w:tc>
        <w:tc>
          <w:tcPr>
            <w:tcW w:w="142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01/10/2018</w:t>
            </w:r>
          </w:p>
        </w:tc>
        <w:tc>
          <w:tcPr>
            <w:tcW w:w="14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p>
        </w:tc>
        <w:tc>
          <w:tcPr>
            <w:tcW w:w="1540" w:type="dxa"/>
            <w:shd w:val="clear" w:color="auto" w:fill="auto"/>
            <w:noWrap/>
            <w:vAlign w:val="bottom"/>
            <w:hideMark/>
          </w:tcPr>
          <w:p w:rsidR="0027583F" w:rsidRPr="006B4AEB" w:rsidRDefault="0027583F" w:rsidP="00141415">
            <w:pPr>
              <w:spacing w:after="0" w:line="240" w:lineRule="auto"/>
              <w:jc w:val="right"/>
              <w:rPr>
                <w:rFonts w:ascii="Arial" w:eastAsia="Times New Roman" w:hAnsi="Arial" w:cs="Arial"/>
                <w:color w:val="000000"/>
                <w:sz w:val="24"/>
                <w:szCs w:val="24"/>
                <w:lang w:eastAsia="en-IE"/>
              </w:rPr>
            </w:pPr>
            <w:r w:rsidRPr="006B4AEB">
              <w:rPr>
                <w:rFonts w:ascii="Arial" w:eastAsia="Times New Roman" w:hAnsi="Arial" w:cs="Arial"/>
                <w:color w:val="000000"/>
                <w:sz w:val="24"/>
                <w:szCs w:val="24"/>
                <w:lang w:eastAsia="en-IE"/>
              </w:rPr>
              <w:t>300</w:t>
            </w:r>
          </w:p>
        </w:tc>
      </w:tr>
    </w:tbl>
    <w:p w:rsidR="0027583F" w:rsidRDefault="0027583F" w:rsidP="0027583F">
      <w:pPr>
        <w:rPr>
          <w:rFonts w:ascii="Arial" w:hAnsi="Arial" w:cs="Arial"/>
          <w:sz w:val="24"/>
        </w:rPr>
      </w:pPr>
    </w:p>
    <w:p w:rsidR="0027583F" w:rsidRDefault="0027583F" w:rsidP="0027583F">
      <w:pPr>
        <w:rPr>
          <w:rFonts w:ascii="Arial" w:hAnsi="Arial" w:cs="Arial"/>
          <w:sz w:val="24"/>
        </w:rPr>
      </w:pPr>
      <w:r>
        <w:rPr>
          <w:rFonts w:ascii="Arial" w:hAnsi="Arial" w:cs="Arial"/>
          <w:sz w:val="24"/>
        </w:rPr>
        <w:t>5. The fair values of the net assets of the Blue plc, White Ltd and Green Ltd closely approximated their carrying values at the date of the above share acquisitions by Colour plc, with the exception of raw material inventory held by Blue plc which had a replacement cost of €5m less than its carrying value at I January 2014, and land held by White Ltd, which had a fair value of €24m in excess of its carrying value at 1 January 2012. All of the inventory held by Blue plc at 1 January 2014 was sold during 2015.</w:t>
      </w:r>
    </w:p>
    <w:p w:rsidR="0027583F" w:rsidRDefault="0027583F" w:rsidP="0027583F">
      <w:pPr>
        <w:rPr>
          <w:rFonts w:ascii="Arial" w:hAnsi="Arial" w:cs="Arial"/>
          <w:sz w:val="24"/>
        </w:rPr>
      </w:pPr>
      <w:r>
        <w:rPr>
          <w:rFonts w:ascii="Arial" w:hAnsi="Arial" w:cs="Arial"/>
          <w:sz w:val="24"/>
        </w:rPr>
        <w:t>6. Colour plc incurred professional fees of €2m in the acquisition of Green plc. The cost of investment in Green plc of €131m includes the professional fees of €2m.</w:t>
      </w:r>
    </w:p>
    <w:p w:rsidR="0027583F" w:rsidRDefault="0027583F" w:rsidP="0027583F">
      <w:pPr>
        <w:rPr>
          <w:rFonts w:ascii="Arial" w:hAnsi="Arial" w:cs="Arial"/>
          <w:sz w:val="24"/>
        </w:rPr>
      </w:pPr>
      <w:r>
        <w:rPr>
          <w:rFonts w:ascii="Arial" w:hAnsi="Arial" w:cs="Arial"/>
          <w:sz w:val="24"/>
        </w:rPr>
        <w:t>7. During the year ended 31 December 2018 the following intra group trading took place:</w:t>
      </w:r>
    </w:p>
    <w:tbl>
      <w:tblPr>
        <w:tblW w:w="8404" w:type="dxa"/>
        <w:tblLook w:val="04A0" w:firstRow="1" w:lastRow="0" w:firstColumn="1" w:lastColumn="0" w:noHBand="0" w:noVBand="1"/>
      </w:tblPr>
      <w:tblGrid>
        <w:gridCol w:w="1780"/>
        <w:gridCol w:w="340"/>
        <w:gridCol w:w="1440"/>
        <w:gridCol w:w="222"/>
        <w:gridCol w:w="222"/>
        <w:gridCol w:w="340"/>
        <w:gridCol w:w="1720"/>
        <w:gridCol w:w="420"/>
        <w:gridCol w:w="1920"/>
      </w:tblGrid>
      <w:tr w:rsidR="0027583F" w:rsidRPr="009164F0" w:rsidTr="00141415">
        <w:trPr>
          <w:trHeight w:val="630"/>
        </w:trPr>
        <w:tc>
          <w:tcPr>
            <w:tcW w:w="1780" w:type="dxa"/>
            <w:tcBorders>
              <w:top w:val="nil"/>
              <w:left w:val="nil"/>
              <w:bottom w:val="nil"/>
              <w:right w:val="nil"/>
            </w:tcBorders>
            <w:shd w:val="clear" w:color="auto" w:fill="auto"/>
            <w:vAlign w:val="bottom"/>
            <w:hideMark/>
          </w:tcPr>
          <w:p w:rsidR="0027583F" w:rsidRPr="009164F0" w:rsidRDefault="0027583F" w:rsidP="00141415">
            <w:pPr>
              <w:spacing w:after="0" w:line="240" w:lineRule="auto"/>
              <w:rPr>
                <w:rFonts w:ascii="Arial" w:eastAsia="Times New Roman" w:hAnsi="Arial" w:cs="Arial"/>
                <w:b/>
                <w:bCs/>
                <w:color w:val="000000"/>
                <w:sz w:val="24"/>
                <w:szCs w:val="24"/>
                <w:lang w:eastAsia="en-IE"/>
              </w:rPr>
            </w:pPr>
            <w:r w:rsidRPr="009164F0">
              <w:rPr>
                <w:rFonts w:ascii="Arial" w:eastAsia="Times New Roman" w:hAnsi="Arial" w:cs="Arial"/>
                <w:b/>
                <w:bCs/>
                <w:color w:val="000000"/>
                <w:sz w:val="24"/>
                <w:szCs w:val="24"/>
                <w:lang w:eastAsia="en-IE"/>
              </w:rPr>
              <w:t>Selling company</w:t>
            </w: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b/>
                <w:bCs/>
                <w:color w:val="000000"/>
                <w:sz w:val="24"/>
                <w:szCs w:val="24"/>
                <w:lang w:eastAsia="en-IE"/>
              </w:rPr>
            </w:pPr>
          </w:p>
        </w:tc>
        <w:tc>
          <w:tcPr>
            <w:tcW w:w="1440" w:type="dxa"/>
            <w:tcBorders>
              <w:top w:val="nil"/>
              <w:left w:val="nil"/>
              <w:bottom w:val="nil"/>
              <w:right w:val="nil"/>
            </w:tcBorders>
            <w:shd w:val="clear" w:color="auto" w:fill="auto"/>
            <w:vAlign w:val="bottom"/>
            <w:hideMark/>
          </w:tcPr>
          <w:p w:rsidR="0027583F" w:rsidRPr="009164F0" w:rsidRDefault="0027583F" w:rsidP="00141415">
            <w:pPr>
              <w:spacing w:after="0" w:line="240" w:lineRule="auto"/>
              <w:jc w:val="right"/>
              <w:rPr>
                <w:rFonts w:ascii="Arial" w:eastAsia="Times New Roman" w:hAnsi="Arial" w:cs="Arial"/>
                <w:b/>
                <w:bCs/>
                <w:color w:val="000000"/>
                <w:sz w:val="24"/>
                <w:szCs w:val="24"/>
                <w:lang w:eastAsia="en-IE"/>
              </w:rPr>
            </w:pPr>
            <w:r w:rsidRPr="009164F0">
              <w:rPr>
                <w:rFonts w:ascii="Arial" w:eastAsia="Times New Roman" w:hAnsi="Arial" w:cs="Arial"/>
                <w:b/>
                <w:bCs/>
                <w:color w:val="000000"/>
                <w:sz w:val="24"/>
                <w:szCs w:val="24"/>
                <w:lang w:eastAsia="en-IE"/>
              </w:rPr>
              <w:t>Buying company</w:t>
            </w: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b/>
                <w:bCs/>
                <w:color w:val="000000"/>
                <w:sz w:val="24"/>
                <w:szCs w:val="24"/>
                <w:lang w:eastAsia="en-IE"/>
              </w:rPr>
            </w:pP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Times New Roman" w:eastAsia="Times New Roman" w:hAnsi="Times New Roman" w:cs="Times New Roman"/>
                <w:sz w:val="20"/>
                <w:szCs w:val="20"/>
                <w:lang w:eastAsia="en-IE"/>
              </w:rPr>
            </w:pP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Times New Roman" w:eastAsia="Times New Roman" w:hAnsi="Times New Roman" w:cs="Times New Roman"/>
                <w:sz w:val="20"/>
                <w:szCs w:val="20"/>
                <w:lang w:eastAsia="en-IE"/>
              </w:rPr>
            </w:pPr>
          </w:p>
        </w:tc>
        <w:tc>
          <w:tcPr>
            <w:tcW w:w="1720" w:type="dxa"/>
            <w:tcBorders>
              <w:top w:val="nil"/>
              <w:left w:val="nil"/>
              <w:bottom w:val="nil"/>
              <w:right w:val="nil"/>
            </w:tcBorders>
            <w:shd w:val="clear" w:color="auto" w:fill="auto"/>
            <w:vAlign w:val="bottom"/>
            <w:hideMark/>
          </w:tcPr>
          <w:p w:rsidR="0027583F" w:rsidRPr="009164F0" w:rsidRDefault="0027583F" w:rsidP="00141415">
            <w:pPr>
              <w:spacing w:after="0" w:line="240" w:lineRule="auto"/>
              <w:jc w:val="right"/>
              <w:rPr>
                <w:rFonts w:ascii="Arial" w:eastAsia="Times New Roman" w:hAnsi="Arial" w:cs="Arial"/>
                <w:b/>
                <w:bCs/>
                <w:color w:val="000000"/>
                <w:sz w:val="24"/>
                <w:szCs w:val="24"/>
                <w:lang w:eastAsia="en-IE"/>
              </w:rPr>
            </w:pPr>
            <w:r w:rsidRPr="009164F0">
              <w:rPr>
                <w:rFonts w:ascii="Arial" w:eastAsia="Times New Roman" w:hAnsi="Arial" w:cs="Arial"/>
                <w:b/>
                <w:bCs/>
                <w:color w:val="000000"/>
                <w:sz w:val="24"/>
                <w:szCs w:val="24"/>
                <w:lang w:eastAsia="en-IE"/>
              </w:rPr>
              <w:t>Sales at invoice price</w:t>
            </w:r>
          </w:p>
        </w:tc>
        <w:tc>
          <w:tcPr>
            <w:tcW w:w="4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b/>
                <w:bCs/>
                <w:color w:val="000000"/>
                <w:sz w:val="24"/>
                <w:szCs w:val="24"/>
                <w:lang w:eastAsia="en-IE"/>
              </w:rPr>
            </w:pPr>
          </w:p>
        </w:tc>
        <w:tc>
          <w:tcPr>
            <w:tcW w:w="1920" w:type="dxa"/>
            <w:tcBorders>
              <w:top w:val="nil"/>
              <w:left w:val="nil"/>
              <w:bottom w:val="nil"/>
              <w:right w:val="nil"/>
            </w:tcBorders>
            <w:shd w:val="clear" w:color="auto" w:fill="auto"/>
            <w:vAlign w:val="bottom"/>
            <w:hideMark/>
          </w:tcPr>
          <w:p w:rsidR="0027583F" w:rsidRPr="009164F0" w:rsidRDefault="0027583F" w:rsidP="00141415">
            <w:pPr>
              <w:spacing w:after="0" w:line="240" w:lineRule="auto"/>
              <w:jc w:val="right"/>
              <w:rPr>
                <w:rFonts w:ascii="Arial" w:eastAsia="Times New Roman" w:hAnsi="Arial" w:cs="Arial"/>
                <w:b/>
                <w:bCs/>
                <w:color w:val="000000"/>
                <w:sz w:val="24"/>
                <w:szCs w:val="24"/>
                <w:lang w:eastAsia="en-IE"/>
              </w:rPr>
            </w:pPr>
            <w:r w:rsidRPr="009164F0">
              <w:rPr>
                <w:rFonts w:ascii="Arial" w:eastAsia="Times New Roman" w:hAnsi="Arial" w:cs="Arial"/>
                <w:b/>
                <w:bCs/>
                <w:color w:val="000000"/>
                <w:sz w:val="24"/>
                <w:szCs w:val="24"/>
                <w:lang w:eastAsia="en-IE"/>
              </w:rPr>
              <w:t>Profit on sales</w:t>
            </w:r>
          </w:p>
        </w:tc>
      </w:tr>
      <w:tr w:rsidR="0027583F" w:rsidRPr="009164F0" w:rsidTr="00141415">
        <w:trPr>
          <w:trHeight w:val="315"/>
        </w:trPr>
        <w:tc>
          <w:tcPr>
            <w:tcW w:w="178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b/>
                <w:bCs/>
                <w:color w:val="000000"/>
                <w:sz w:val="24"/>
                <w:szCs w:val="24"/>
                <w:lang w:eastAsia="en-IE"/>
              </w:rPr>
            </w:pP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14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17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b/>
                <w:bCs/>
                <w:color w:val="000000"/>
                <w:sz w:val="24"/>
                <w:szCs w:val="24"/>
                <w:lang w:eastAsia="en-IE"/>
              </w:rPr>
            </w:pPr>
            <w:r w:rsidRPr="009164F0">
              <w:rPr>
                <w:rFonts w:ascii="Arial" w:eastAsia="Times New Roman" w:hAnsi="Arial" w:cs="Arial"/>
                <w:b/>
                <w:bCs/>
                <w:color w:val="000000"/>
                <w:sz w:val="24"/>
                <w:szCs w:val="24"/>
                <w:lang w:eastAsia="en-IE"/>
              </w:rPr>
              <w:t>€'m</w:t>
            </w:r>
          </w:p>
        </w:tc>
        <w:tc>
          <w:tcPr>
            <w:tcW w:w="4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b/>
                <w:bCs/>
                <w:color w:val="000000"/>
                <w:sz w:val="24"/>
                <w:szCs w:val="24"/>
                <w:lang w:eastAsia="en-IE"/>
              </w:rPr>
            </w:pPr>
          </w:p>
        </w:tc>
        <w:tc>
          <w:tcPr>
            <w:tcW w:w="19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r>
      <w:tr w:rsidR="0027583F" w:rsidRPr="009164F0" w:rsidTr="00141415">
        <w:trPr>
          <w:trHeight w:val="315"/>
        </w:trPr>
        <w:tc>
          <w:tcPr>
            <w:tcW w:w="178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 xml:space="preserve">Colour </w:t>
            </w:r>
            <w:r w:rsidRPr="009164F0">
              <w:rPr>
                <w:rFonts w:ascii="Arial" w:eastAsia="Times New Roman" w:hAnsi="Arial" w:cs="Arial"/>
                <w:color w:val="000000"/>
                <w:sz w:val="24"/>
                <w:szCs w:val="24"/>
                <w:lang w:eastAsia="en-IE"/>
              </w:rPr>
              <w:t>plc</w:t>
            </w: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14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Blue</w:t>
            </w:r>
            <w:r w:rsidRPr="009164F0">
              <w:rPr>
                <w:rFonts w:ascii="Arial" w:eastAsia="Times New Roman" w:hAnsi="Arial" w:cs="Arial"/>
                <w:color w:val="000000"/>
                <w:sz w:val="24"/>
                <w:szCs w:val="24"/>
                <w:lang w:eastAsia="en-IE"/>
              </w:rPr>
              <w:t xml:space="preserve"> plc</w:t>
            </w: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17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color w:val="000000"/>
                <w:sz w:val="24"/>
                <w:szCs w:val="24"/>
                <w:lang w:eastAsia="en-IE"/>
              </w:rPr>
            </w:pPr>
            <w:r w:rsidRPr="009164F0">
              <w:rPr>
                <w:rFonts w:ascii="Arial" w:eastAsia="Times New Roman" w:hAnsi="Arial" w:cs="Arial"/>
                <w:color w:val="000000"/>
                <w:sz w:val="24"/>
                <w:szCs w:val="24"/>
                <w:lang w:eastAsia="en-IE"/>
              </w:rPr>
              <w:t>360</w:t>
            </w:r>
          </w:p>
        </w:tc>
        <w:tc>
          <w:tcPr>
            <w:tcW w:w="4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color w:val="000000"/>
                <w:sz w:val="24"/>
                <w:szCs w:val="24"/>
                <w:lang w:eastAsia="en-IE"/>
              </w:rPr>
            </w:pPr>
          </w:p>
        </w:tc>
        <w:tc>
          <w:tcPr>
            <w:tcW w:w="19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20</w:t>
            </w:r>
            <w:r w:rsidRPr="009164F0">
              <w:rPr>
                <w:rFonts w:ascii="Arial" w:eastAsia="Times New Roman" w:hAnsi="Arial" w:cs="Arial"/>
                <w:color w:val="000000"/>
                <w:sz w:val="24"/>
                <w:szCs w:val="24"/>
                <w:lang w:eastAsia="en-IE"/>
              </w:rPr>
              <w:t>% on cost</w:t>
            </w:r>
          </w:p>
        </w:tc>
      </w:tr>
      <w:tr w:rsidR="0027583F" w:rsidRPr="009164F0" w:rsidTr="00141415">
        <w:trPr>
          <w:trHeight w:val="315"/>
        </w:trPr>
        <w:tc>
          <w:tcPr>
            <w:tcW w:w="1780" w:type="dxa"/>
            <w:tcBorders>
              <w:top w:val="nil"/>
              <w:left w:val="nil"/>
              <w:bottom w:val="nil"/>
              <w:right w:val="nil"/>
            </w:tcBorders>
            <w:shd w:val="clear" w:color="auto" w:fill="auto"/>
            <w:noWrap/>
            <w:vAlign w:val="bottom"/>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340" w:type="dxa"/>
            <w:tcBorders>
              <w:top w:val="nil"/>
              <w:left w:val="nil"/>
              <w:bottom w:val="nil"/>
              <w:right w:val="nil"/>
            </w:tcBorders>
            <w:shd w:val="clear" w:color="auto" w:fill="auto"/>
            <w:noWrap/>
            <w:vAlign w:val="bottom"/>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1440" w:type="dxa"/>
            <w:tcBorders>
              <w:top w:val="nil"/>
              <w:left w:val="nil"/>
              <w:bottom w:val="nil"/>
              <w:right w:val="nil"/>
            </w:tcBorders>
            <w:shd w:val="clear" w:color="auto" w:fill="auto"/>
            <w:noWrap/>
            <w:vAlign w:val="bottom"/>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222" w:type="dxa"/>
            <w:tcBorders>
              <w:top w:val="nil"/>
              <w:left w:val="nil"/>
              <w:bottom w:val="nil"/>
              <w:right w:val="nil"/>
            </w:tcBorders>
            <w:shd w:val="clear" w:color="auto" w:fill="auto"/>
            <w:noWrap/>
            <w:vAlign w:val="bottom"/>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222" w:type="dxa"/>
            <w:tcBorders>
              <w:top w:val="nil"/>
              <w:left w:val="nil"/>
              <w:bottom w:val="nil"/>
              <w:right w:val="nil"/>
            </w:tcBorders>
            <w:shd w:val="clear" w:color="auto" w:fill="auto"/>
            <w:noWrap/>
            <w:vAlign w:val="bottom"/>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340" w:type="dxa"/>
            <w:tcBorders>
              <w:top w:val="nil"/>
              <w:left w:val="nil"/>
              <w:bottom w:val="nil"/>
              <w:right w:val="nil"/>
            </w:tcBorders>
            <w:shd w:val="clear" w:color="auto" w:fill="auto"/>
            <w:noWrap/>
            <w:vAlign w:val="bottom"/>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1720" w:type="dxa"/>
            <w:tcBorders>
              <w:top w:val="nil"/>
              <w:left w:val="nil"/>
              <w:bottom w:val="nil"/>
              <w:right w:val="nil"/>
            </w:tcBorders>
            <w:shd w:val="clear" w:color="auto" w:fill="auto"/>
            <w:noWrap/>
            <w:vAlign w:val="bottom"/>
          </w:tcPr>
          <w:p w:rsidR="0027583F" w:rsidRDefault="0027583F" w:rsidP="00141415">
            <w:pPr>
              <w:spacing w:after="0" w:line="240" w:lineRule="auto"/>
              <w:jc w:val="right"/>
              <w:rPr>
                <w:rFonts w:ascii="Arial" w:eastAsia="Times New Roman" w:hAnsi="Arial" w:cs="Arial"/>
                <w:color w:val="000000"/>
                <w:sz w:val="24"/>
                <w:szCs w:val="24"/>
                <w:lang w:eastAsia="en-IE"/>
              </w:rPr>
            </w:pPr>
          </w:p>
        </w:tc>
        <w:tc>
          <w:tcPr>
            <w:tcW w:w="420" w:type="dxa"/>
            <w:tcBorders>
              <w:top w:val="nil"/>
              <w:left w:val="nil"/>
              <w:bottom w:val="nil"/>
              <w:right w:val="nil"/>
            </w:tcBorders>
            <w:shd w:val="clear" w:color="auto" w:fill="auto"/>
            <w:noWrap/>
            <w:vAlign w:val="bottom"/>
          </w:tcPr>
          <w:p w:rsidR="0027583F" w:rsidRPr="009164F0" w:rsidRDefault="0027583F" w:rsidP="00141415">
            <w:pPr>
              <w:spacing w:after="0" w:line="240" w:lineRule="auto"/>
              <w:jc w:val="right"/>
              <w:rPr>
                <w:rFonts w:ascii="Arial" w:eastAsia="Times New Roman" w:hAnsi="Arial" w:cs="Arial"/>
                <w:color w:val="000000"/>
                <w:sz w:val="24"/>
                <w:szCs w:val="24"/>
                <w:lang w:eastAsia="en-IE"/>
              </w:rPr>
            </w:pPr>
          </w:p>
        </w:tc>
        <w:tc>
          <w:tcPr>
            <w:tcW w:w="1920" w:type="dxa"/>
            <w:tcBorders>
              <w:top w:val="nil"/>
              <w:left w:val="nil"/>
              <w:bottom w:val="nil"/>
              <w:right w:val="nil"/>
            </w:tcBorders>
            <w:shd w:val="clear" w:color="auto" w:fill="auto"/>
            <w:noWrap/>
            <w:vAlign w:val="bottom"/>
          </w:tcPr>
          <w:p w:rsidR="0027583F" w:rsidRDefault="0027583F" w:rsidP="00141415">
            <w:pPr>
              <w:spacing w:after="0" w:line="240" w:lineRule="auto"/>
              <w:rPr>
                <w:rFonts w:ascii="Arial" w:eastAsia="Times New Roman" w:hAnsi="Arial" w:cs="Arial"/>
                <w:color w:val="000000"/>
                <w:sz w:val="24"/>
                <w:szCs w:val="24"/>
                <w:lang w:eastAsia="en-IE"/>
              </w:rPr>
            </w:pPr>
          </w:p>
        </w:tc>
      </w:tr>
      <w:tr w:rsidR="0027583F" w:rsidRPr="009164F0" w:rsidTr="00141415">
        <w:trPr>
          <w:trHeight w:val="315"/>
        </w:trPr>
        <w:tc>
          <w:tcPr>
            <w:tcW w:w="178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r w:rsidRPr="009164F0">
              <w:rPr>
                <w:rFonts w:ascii="Arial" w:eastAsia="Times New Roman" w:hAnsi="Arial" w:cs="Arial"/>
                <w:color w:val="000000"/>
                <w:sz w:val="24"/>
                <w:szCs w:val="24"/>
                <w:lang w:eastAsia="en-IE"/>
              </w:rPr>
              <w:t>White Ltd</w:t>
            </w: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14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r w:rsidRPr="009164F0">
              <w:rPr>
                <w:rFonts w:ascii="Arial" w:eastAsia="Times New Roman" w:hAnsi="Arial" w:cs="Arial"/>
                <w:color w:val="000000"/>
                <w:sz w:val="24"/>
                <w:szCs w:val="24"/>
                <w:lang w:eastAsia="en-IE"/>
              </w:rPr>
              <w:t>Blue plc</w:t>
            </w: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17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24</w:t>
            </w:r>
            <w:r w:rsidRPr="009164F0">
              <w:rPr>
                <w:rFonts w:ascii="Arial" w:eastAsia="Times New Roman" w:hAnsi="Arial" w:cs="Arial"/>
                <w:color w:val="000000"/>
                <w:sz w:val="24"/>
                <w:szCs w:val="24"/>
                <w:lang w:eastAsia="en-IE"/>
              </w:rPr>
              <w:t>0</w:t>
            </w:r>
          </w:p>
        </w:tc>
        <w:tc>
          <w:tcPr>
            <w:tcW w:w="4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jc w:val="right"/>
              <w:rPr>
                <w:rFonts w:ascii="Arial" w:eastAsia="Times New Roman" w:hAnsi="Arial" w:cs="Arial"/>
                <w:color w:val="000000"/>
                <w:sz w:val="24"/>
                <w:szCs w:val="24"/>
                <w:lang w:eastAsia="en-IE"/>
              </w:rPr>
            </w:pPr>
          </w:p>
        </w:tc>
        <w:tc>
          <w:tcPr>
            <w:tcW w:w="1920" w:type="dxa"/>
            <w:tcBorders>
              <w:top w:val="nil"/>
              <w:left w:val="nil"/>
              <w:bottom w:val="nil"/>
              <w:right w:val="nil"/>
            </w:tcBorders>
            <w:shd w:val="clear" w:color="auto" w:fill="auto"/>
            <w:noWrap/>
            <w:vAlign w:val="bottom"/>
            <w:hideMark/>
          </w:tcPr>
          <w:p w:rsidR="0027583F" w:rsidRPr="004C1FCD" w:rsidRDefault="0027583F" w:rsidP="00141415">
            <w:pPr>
              <w:spacing w:after="0" w:line="240" w:lineRule="auto"/>
              <w:rPr>
                <w:rFonts w:ascii="Arial" w:eastAsia="Times New Roman" w:hAnsi="Arial" w:cs="Arial"/>
                <w:color w:val="000000"/>
                <w:sz w:val="24"/>
                <w:szCs w:val="24"/>
                <w:lang w:eastAsia="en-IE"/>
              </w:rPr>
            </w:pPr>
            <w:r>
              <w:rPr>
                <w:rFonts w:ascii="Arial" w:eastAsia="Times New Roman" w:hAnsi="Arial" w:cs="Arial"/>
                <w:color w:val="000000"/>
                <w:sz w:val="24"/>
                <w:szCs w:val="24"/>
                <w:lang w:eastAsia="en-IE"/>
              </w:rPr>
              <w:t>20% on selling price</w:t>
            </w:r>
          </w:p>
        </w:tc>
      </w:tr>
      <w:tr w:rsidR="0027583F" w:rsidRPr="009164F0" w:rsidTr="00141415">
        <w:trPr>
          <w:trHeight w:val="300"/>
        </w:trPr>
        <w:tc>
          <w:tcPr>
            <w:tcW w:w="178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Arial" w:eastAsia="Times New Roman" w:hAnsi="Arial" w:cs="Arial"/>
                <w:color w:val="000000"/>
                <w:sz w:val="24"/>
                <w:szCs w:val="24"/>
                <w:lang w:eastAsia="en-IE"/>
              </w:rPr>
            </w:pP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14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222"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34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17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4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c>
          <w:tcPr>
            <w:tcW w:w="1920" w:type="dxa"/>
            <w:tcBorders>
              <w:top w:val="nil"/>
              <w:left w:val="nil"/>
              <w:bottom w:val="nil"/>
              <w:right w:val="nil"/>
            </w:tcBorders>
            <w:shd w:val="clear" w:color="auto" w:fill="auto"/>
            <w:noWrap/>
            <w:vAlign w:val="bottom"/>
            <w:hideMark/>
          </w:tcPr>
          <w:p w:rsidR="0027583F" w:rsidRPr="009164F0" w:rsidRDefault="0027583F" w:rsidP="00141415">
            <w:pPr>
              <w:spacing w:after="0" w:line="240" w:lineRule="auto"/>
              <w:rPr>
                <w:rFonts w:ascii="Times New Roman" w:eastAsia="Times New Roman" w:hAnsi="Times New Roman" w:cs="Times New Roman"/>
                <w:sz w:val="20"/>
                <w:szCs w:val="20"/>
                <w:lang w:eastAsia="en-IE"/>
              </w:rPr>
            </w:pPr>
          </w:p>
        </w:tc>
      </w:tr>
    </w:tbl>
    <w:p w:rsidR="0027583F" w:rsidRDefault="0027583F" w:rsidP="0027583F">
      <w:pPr>
        <w:rPr>
          <w:rFonts w:ascii="Arial" w:hAnsi="Arial" w:cs="Arial"/>
          <w:sz w:val="24"/>
        </w:rPr>
      </w:pPr>
      <w:r>
        <w:rPr>
          <w:rFonts w:ascii="Arial" w:hAnsi="Arial" w:cs="Arial"/>
          <w:sz w:val="24"/>
        </w:rPr>
        <w:t>One third of the goods sold by Colour plc to Blue plc were still held in inventory by Blue plc at 31 December 2018, and one quarter of the goods sold by White Ltd to Blue plc were still held in inventory by Blue plc at 31 December 2018.</w:t>
      </w:r>
    </w:p>
    <w:p w:rsidR="0027583F" w:rsidRDefault="0027583F" w:rsidP="0027583F">
      <w:pPr>
        <w:rPr>
          <w:rFonts w:ascii="Arial" w:hAnsi="Arial" w:cs="Arial"/>
          <w:sz w:val="24"/>
        </w:rPr>
      </w:pPr>
      <w:r>
        <w:rPr>
          <w:rFonts w:ascii="Arial" w:hAnsi="Arial" w:cs="Arial"/>
          <w:sz w:val="24"/>
        </w:rPr>
        <w:t>8. The trade receivables of Colour plc includes €40m due from Blue plc and the trade receivables of White Ltd includes €50m due from Blue plc. The trade payables of Blue plc includes €37 due to Colour plc and €50m due to White Ltd. There were no goods in transit between group companies at 31 December 2018.</w:t>
      </w:r>
    </w:p>
    <w:p w:rsidR="0027583F" w:rsidRDefault="0027583F" w:rsidP="0027583F">
      <w:pPr>
        <w:rPr>
          <w:rFonts w:ascii="Arial" w:hAnsi="Arial" w:cs="Arial"/>
          <w:sz w:val="24"/>
        </w:rPr>
      </w:pPr>
      <w:r>
        <w:rPr>
          <w:rFonts w:ascii="Arial" w:hAnsi="Arial" w:cs="Arial"/>
          <w:sz w:val="24"/>
        </w:rPr>
        <w:t>9. Blue plc sold plant and equipment to Colour plc on 1 January 2017 (i.e. in the previous year) for €120m, the carrying value of this plant equipment in Blue plc’s books on 1 January 2017 was €95m. Plant and equipment is depreciated at 20% per annum reducing balance by both Colour plc and Blue plc.</w:t>
      </w:r>
    </w:p>
    <w:p w:rsidR="0027583F" w:rsidRDefault="0027583F" w:rsidP="0027583F">
      <w:pPr>
        <w:rPr>
          <w:rFonts w:ascii="Arial" w:hAnsi="Arial" w:cs="Arial"/>
          <w:sz w:val="24"/>
        </w:rPr>
      </w:pPr>
      <w:r>
        <w:rPr>
          <w:rFonts w:ascii="Arial" w:hAnsi="Arial" w:cs="Arial"/>
          <w:sz w:val="24"/>
        </w:rPr>
        <w:lastRenderedPageBreak/>
        <w:t>10. Colour plc levied a management charge on White Ltd €4m for services which it provides. Colour plc included this €4m in its trade receivables, White Ltd has neither paid this charge nor accrued it as outstanding.</w:t>
      </w:r>
    </w:p>
    <w:p w:rsidR="0027583F" w:rsidRPr="0081316F" w:rsidRDefault="0027583F" w:rsidP="0027583F">
      <w:pPr>
        <w:rPr>
          <w:rFonts w:ascii="Arial" w:hAnsi="Arial" w:cs="Arial"/>
          <w:sz w:val="24"/>
        </w:rPr>
      </w:pPr>
      <w:r>
        <w:rPr>
          <w:rFonts w:ascii="Arial" w:hAnsi="Arial" w:cs="Arial"/>
          <w:sz w:val="24"/>
        </w:rPr>
        <w:t>11. The goodwill on acquisition of Blue plc suffered an impairment loss of €13m since acquisition date, and the goodwill on acquisition of White Ltd suffered an impairment loss of €8m since acquisition date.</w:t>
      </w:r>
    </w:p>
    <w:p w:rsidR="0027583F" w:rsidRDefault="0027583F" w:rsidP="0027583F">
      <w:pPr>
        <w:rPr>
          <w:rFonts w:ascii="Arial" w:hAnsi="Arial" w:cs="Arial"/>
          <w:b/>
          <w:sz w:val="24"/>
        </w:rPr>
      </w:pPr>
    </w:p>
    <w:p w:rsidR="0027583F" w:rsidRPr="00351D72" w:rsidRDefault="0027583F" w:rsidP="0027583F">
      <w:pPr>
        <w:rPr>
          <w:rFonts w:ascii="Arial" w:hAnsi="Arial" w:cs="Arial"/>
          <w:b/>
          <w:sz w:val="28"/>
        </w:rPr>
      </w:pPr>
      <w:r w:rsidRPr="00351D72">
        <w:rPr>
          <w:rFonts w:ascii="Arial" w:hAnsi="Arial" w:cs="Arial"/>
          <w:b/>
          <w:sz w:val="28"/>
        </w:rPr>
        <w:t xml:space="preserve">Requirement </w:t>
      </w:r>
    </w:p>
    <w:p w:rsidR="0021566C" w:rsidRDefault="0027583F" w:rsidP="0027583F">
      <w:pPr>
        <w:rPr>
          <w:rFonts w:ascii="Arial" w:hAnsi="Arial" w:cs="Arial"/>
          <w:b/>
          <w:sz w:val="24"/>
        </w:rPr>
      </w:pPr>
      <w:bookmarkStart w:id="0" w:name="_GoBack"/>
      <w:r>
        <w:rPr>
          <w:rFonts w:ascii="Arial" w:hAnsi="Arial" w:cs="Arial"/>
          <w:sz w:val="24"/>
        </w:rPr>
        <w:t>Prepare the consolidated statement of financial position for the Colour group as at 31 December 2018 (show all workings).</w:t>
      </w:r>
      <w:r>
        <w:rPr>
          <w:rFonts w:ascii="Arial" w:hAnsi="Arial" w:cs="Arial"/>
          <w:sz w:val="24"/>
        </w:rPr>
        <w:br/>
      </w:r>
      <w:bookmarkEnd w:id="0"/>
      <w:r>
        <w:rPr>
          <w:rFonts w:ascii="Arial" w:hAnsi="Arial" w:cs="Arial"/>
          <w:sz w:val="24"/>
        </w:rPr>
        <w:t xml:space="preserve">                                                                                                                   </w:t>
      </w:r>
      <w:r w:rsidRPr="00EB290B">
        <w:rPr>
          <w:rFonts w:ascii="Arial" w:hAnsi="Arial" w:cs="Arial"/>
          <w:b/>
          <w:sz w:val="24"/>
        </w:rPr>
        <w:t xml:space="preserve"> 35 marks     </w:t>
      </w: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21566C" w:rsidRDefault="0021566C" w:rsidP="0027583F">
      <w:pPr>
        <w:rPr>
          <w:rFonts w:ascii="Arial" w:hAnsi="Arial" w:cs="Arial"/>
          <w:b/>
          <w:sz w:val="24"/>
        </w:rPr>
      </w:pPr>
    </w:p>
    <w:p w:rsidR="009C5B70" w:rsidRPr="00BC572F" w:rsidRDefault="0027583F" w:rsidP="00BC572F">
      <w:pPr>
        <w:rPr>
          <w:rFonts w:ascii="Arial" w:hAnsi="Arial" w:cs="Arial"/>
          <w:sz w:val="24"/>
        </w:rPr>
      </w:pPr>
      <w:r w:rsidRPr="00EB290B">
        <w:rPr>
          <w:rFonts w:ascii="Arial" w:hAnsi="Arial" w:cs="Arial"/>
          <w:b/>
          <w:sz w:val="24"/>
        </w:rPr>
        <w:t xml:space="preserve">    </w:t>
      </w:r>
      <w:r>
        <w:rPr>
          <w:rFonts w:ascii="Arial" w:hAnsi="Arial" w:cs="Arial"/>
          <w:sz w:val="24"/>
        </w:rPr>
        <w:t xml:space="preserve">       </w:t>
      </w:r>
      <w:r w:rsidR="0021566C" w:rsidRPr="00196BCF">
        <w:rPr>
          <w:rFonts w:ascii="Arial" w:hAnsi="Arial" w:cs="Arial"/>
          <w:b/>
          <w:sz w:val="24"/>
          <w:szCs w:val="24"/>
        </w:rPr>
        <w:t xml:space="preserve">                                                             </w:t>
      </w:r>
    </w:p>
    <w:sectPr w:rsidR="009C5B70" w:rsidRPr="00BC57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83F"/>
    <w:rsid w:val="000E33D4"/>
    <w:rsid w:val="00204E2B"/>
    <w:rsid w:val="0021566C"/>
    <w:rsid w:val="0027583F"/>
    <w:rsid w:val="0072261C"/>
    <w:rsid w:val="008577B6"/>
    <w:rsid w:val="009C5B70"/>
    <w:rsid w:val="00BC572F"/>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04F60"/>
  <w15:chartTrackingRefBased/>
  <w15:docId w15:val="{E661717A-5BEF-41F3-ACB7-474D55EE8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8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723</Words>
  <Characters>3798</Characters>
  <Application>Microsoft Office Word</Application>
  <DocSecurity>0</DocSecurity>
  <Lines>79</Lines>
  <Paragraphs>30</Paragraphs>
  <ScaleCrop>false</ScaleCrop>
  <HeadingPairs>
    <vt:vector size="2" baseType="variant">
      <vt:variant>
        <vt:lpstr>Title</vt:lpstr>
      </vt:variant>
      <vt:variant>
        <vt:i4>1</vt:i4>
      </vt:variant>
    </vt:vector>
  </HeadingPairs>
  <TitlesOfParts>
    <vt:vector size="1" baseType="lpstr">
      <vt:lpstr/>
    </vt:vector>
  </TitlesOfParts>
  <Company>Dublin Institute of Technology</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Shannon</dc:creator>
  <cp:keywords/>
  <dc:description/>
  <cp:lastModifiedBy>Lujain Mansour Almazmoumi</cp:lastModifiedBy>
  <cp:revision>2</cp:revision>
  <dcterms:created xsi:type="dcterms:W3CDTF">2020-03-30T00:39:00Z</dcterms:created>
  <dcterms:modified xsi:type="dcterms:W3CDTF">2020-03-30T00:39:00Z</dcterms:modified>
</cp:coreProperties>
</file>